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5C4A872" w14:textId="77777777" w:rsidR="00D500D4" w:rsidRPr="00AF5A00" w:rsidRDefault="00D500D4" w:rsidP="00AF5A00">
      <w:pPr>
        <w:autoSpaceDE w:val="0"/>
        <w:autoSpaceDN w:val="0"/>
        <w:adjustRightInd w:val="0"/>
        <w:jc w:val="start"/>
        <w:rPr>
          <w:rFonts w:ascii="ＭＳ ゴシック" w:eastAsia="ＭＳ ゴシック" w:hAnsi="ＭＳ ゴシック"/>
          <w:sz w:val="28"/>
          <w:szCs w:val="28"/>
        </w:rPr>
      </w:pPr>
      <w:r w:rsidRPr="00AF5A00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1A3FA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F5A00">
        <w:rPr>
          <w:rFonts w:ascii="ＭＳ ゴシック" w:eastAsia="ＭＳ ゴシック" w:hAnsi="ＭＳ ゴシック" w:hint="eastAsia"/>
          <w:sz w:val="28"/>
          <w:szCs w:val="28"/>
        </w:rPr>
        <w:t>認可保育所利用者の保育料階層の分布</w:t>
      </w:r>
    </w:p>
    <w:p w14:paraId="247EEB1E" w14:textId="77777777" w:rsidR="00D500D4" w:rsidRDefault="00D500D4" w:rsidP="00515611">
      <w:pPr>
        <w:autoSpaceDE w:val="0"/>
        <w:autoSpaceDN w:val="0"/>
        <w:adjustRightInd w:val="0"/>
        <w:spacing w:line="14.80pt" w:lineRule="atLeast"/>
        <w:ind w:start="11pt"/>
        <w:jc w:val="start"/>
      </w:pPr>
    </w:p>
    <w:p w14:paraId="340E9F3D" w14:textId="77777777" w:rsidR="001A3FA9" w:rsidRPr="00E7727D" w:rsidRDefault="001A3FA9" w:rsidP="00E7727D">
      <w:pPr>
        <w:autoSpaceDE w:val="0"/>
        <w:autoSpaceDN w:val="0"/>
        <w:ind w:startChars="100" w:start="22.50pt" w:hangingChars="100" w:hanging="12pt"/>
        <w:jc w:val="start"/>
        <w:rPr>
          <w:sz w:val="24"/>
        </w:rPr>
      </w:pPr>
      <w:r w:rsidRPr="00E7727D">
        <w:rPr>
          <w:rFonts w:hint="eastAsia"/>
          <w:sz w:val="24"/>
        </w:rPr>
        <w:t>○４月在園世帯の保育料階層</w:t>
      </w:r>
    </w:p>
    <w:p w14:paraId="2FFFA99F" w14:textId="77777777" w:rsidR="001A3FA9" w:rsidRPr="0060219B" w:rsidRDefault="00E92102" w:rsidP="00E7727D">
      <w:pPr>
        <w:autoSpaceDE w:val="0"/>
        <w:autoSpaceDN w:val="0"/>
        <w:ind w:startChars="100" w:start="22.50pt" w:hangingChars="100" w:hanging="12pt"/>
        <w:jc w:val="start"/>
        <w:rPr>
          <w:sz w:val="24"/>
        </w:rPr>
      </w:pPr>
      <w:r w:rsidRPr="0073035D">
        <w:rPr>
          <w:rFonts w:hint="eastAsia"/>
          <w:sz w:val="24"/>
        </w:rPr>
        <w:t xml:space="preserve">　　Ａ</w:t>
      </w:r>
      <w:r w:rsidR="001A3FA9" w:rsidRPr="0073035D">
        <w:rPr>
          <w:rFonts w:hint="eastAsia"/>
          <w:sz w:val="24"/>
        </w:rPr>
        <w:t>階層は、</w:t>
      </w:r>
      <w:r w:rsidR="001A3FA9" w:rsidRPr="0060219B">
        <w:rPr>
          <w:rFonts w:hint="eastAsia"/>
          <w:sz w:val="24"/>
        </w:rPr>
        <w:t>生活保護を受けている世帯です。</w:t>
      </w:r>
    </w:p>
    <w:p w14:paraId="7E1B1705" w14:textId="6F4AA15A" w:rsidR="001A3FA9" w:rsidRPr="0060219B" w:rsidRDefault="00E92102" w:rsidP="00E7727D">
      <w:pPr>
        <w:autoSpaceDE w:val="0"/>
        <w:autoSpaceDN w:val="0"/>
        <w:ind w:startChars="100" w:start="22.50pt" w:hangingChars="100" w:hanging="12pt"/>
        <w:jc w:val="start"/>
        <w:rPr>
          <w:sz w:val="24"/>
        </w:rPr>
      </w:pPr>
      <w:r w:rsidRPr="0060219B">
        <w:rPr>
          <w:rFonts w:hint="eastAsia"/>
          <w:sz w:val="24"/>
        </w:rPr>
        <w:t xml:space="preserve">　　</w:t>
      </w:r>
      <w:r w:rsidR="00FD5292" w:rsidRPr="0060219B">
        <w:rPr>
          <w:rFonts w:hint="eastAsia"/>
          <w:sz w:val="24"/>
        </w:rPr>
        <w:t>Ｂ階層は、</w:t>
      </w:r>
      <w:r w:rsidR="006340AA" w:rsidRPr="0060219B">
        <w:rPr>
          <w:rFonts w:hint="eastAsia"/>
          <w:sz w:val="24"/>
        </w:rPr>
        <w:t>区民税所得割</w:t>
      </w:r>
      <w:r w:rsidR="00B50F9A" w:rsidRPr="0060219B">
        <w:rPr>
          <w:rFonts w:hint="eastAsia"/>
          <w:sz w:val="24"/>
        </w:rPr>
        <w:t>が</w:t>
      </w:r>
      <w:r w:rsidR="00FD5292" w:rsidRPr="0060219B">
        <w:rPr>
          <w:rFonts w:hint="eastAsia"/>
          <w:sz w:val="24"/>
        </w:rPr>
        <w:t>非課税の世帯で、全体の</w:t>
      </w:r>
      <w:r w:rsidR="00714C55">
        <w:rPr>
          <w:rFonts w:hint="eastAsia"/>
          <w:sz w:val="24"/>
        </w:rPr>
        <w:t>４．</w:t>
      </w:r>
      <w:r w:rsidR="005D3E1B">
        <w:rPr>
          <w:rFonts w:hint="eastAsia"/>
          <w:sz w:val="24"/>
        </w:rPr>
        <w:t>６</w:t>
      </w:r>
      <w:r w:rsidR="001A3FA9" w:rsidRPr="0060219B">
        <w:rPr>
          <w:rFonts w:hint="eastAsia"/>
          <w:sz w:val="24"/>
        </w:rPr>
        <w:t>％を占めています。</w:t>
      </w:r>
    </w:p>
    <w:p w14:paraId="704F07FC" w14:textId="49ED60AC" w:rsidR="00C27D1C" w:rsidRDefault="001A3FA9" w:rsidP="0060219B">
      <w:pPr>
        <w:autoSpaceDE w:val="0"/>
        <w:autoSpaceDN w:val="0"/>
        <w:ind w:startChars="100" w:start="21.30pt" w:hangingChars="90" w:hanging="10.80pt"/>
        <w:jc w:val="start"/>
        <w:rPr>
          <w:sz w:val="24"/>
        </w:rPr>
      </w:pPr>
      <w:r w:rsidRPr="0060219B">
        <w:rPr>
          <w:rFonts w:hint="eastAsia"/>
          <w:sz w:val="24"/>
        </w:rPr>
        <w:t xml:space="preserve">　　</w:t>
      </w:r>
      <w:r w:rsidR="00E92102" w:rsidRPr="0060219B">
        <w:rPr>
          <w:rFonts w:hint="eastAsia"/>
          <w:sz w:val="24"/>
        </w:rPr>
        <w:t>Ｄ階層は、</w:t>
      </w:r>
      <w:r w:rsidR="006340AA" w:rsidRPr="0060219B">
        <w:rPr>
          <w:rFonts w:hint="eastAsia"/>
          <w:sz w:val="24"/>
        </w:rPr>
        <w:t>区民税</w:t>
      </w:r>
      <w:r w:rsidRPr="0060219B">
        <w:rPr>
          <w:rFonts w:hint="eastAsia"/>
          <w:sz w:val="24"/>
        </w:rPr>
        <w:t>所得</w:t>
      </w:r>
      <w:r w:rsidR="00671DD9" w:rsidRPr="0060219B">
        <w:rPr>
          <w:rFonts w:hint="eastAsia"/>
          <w:sz w:val="24"/>
        </w:rPr>
        <w:t>割が課税されている</w:t>
      </w:r>
      <w:r w:rsidRPr="0060219B">
        <w:rPr>
          <w:rFonts w:hint="eastAsia"/>
          <w:sz w:val="24"/>
        </w:rPr>
        <w:t>世帯</w:t>
      </w:r>
      <w:r w:rsidR="005D3E1B">
        <w:rPr>
          <w:rFonts w:hint="eastAsia"/>
          <w:sz w:val="24"/>
        </w:rPr>
        <w:t>で、</w:t>
      </w:r>
      <w:r w:rsidR="00C27D1C">
        <w:rPr>
          <w:rFonts w:hint="eastAsia"/>
          <w:sz w:val="24"/>
        </w:rPr>
        <w:t>Ｄ５－Ｄ７階層に分布する利用者が最も多く、ついでＤ２１－Ｄ２</w:t>
      </w:r>
      <w:r w:rsidR="00952904">
        <w:rPr>
          <w:rFonts w:hint="eastAsia"/>
          <w:sz w:val="24"/>
        </w:rPr>
        <w:t>４</w:t>
      </w:r>
      <w:r w:rsidR="00C27D1C">
        <w:rPr>
          <w:rFonts w:hint="eastAsia"/>
          <w:sz w:val="24"/>
        </w:rPr>
        <w:t>階層に分布する利用者が多くなっています</w:t>
      </w:r>
      <w:r w:rsidRPr="0060219B">
        <w:rPr>
          <w:rFonts w:hint="eastAsia"/>
          <w:sz w:val="24"/>
        </w:rPr>
        <w:t>。</w:t>
      </w:r>
    </w:p>
    <w:p w14:paraId="22F2416A" w14:textId="77777777" w:rsidR="001A3FA9" w:rsidRPr="0073035D" w:rsidRDefault="001A3FA9" w:rsidP="0060219B">
      <w:pPr>
        <w:autoSpaceDE w:val="0"/>
        <w:autoSpaceDN w:val="0"/>
        <w:ind w:startChars="100" w:start="21.30pt" w:hangingChars="90" w:hanging="10.80pt"/>
        <w:jc w:val="start"/>
        <w:rPr>
          <w:sz w:val="24"/>
        </w:rPr>
      </w:pPr>
      <w:r w:rsidRPr="0060219B">
        <w:rPr>
          <w:rFonts w:hint="eastAsia"/>
          <w:sz w:val="24"/>
        </w:rPr>
        <w:t xml:space="preserve">　　最も多いＤ</w:t>
      </w:r>
      <w:r w:rsidR="00D43A70" w:rsidRPr="0060219B">
        <w:rPr>
          <w:rFonts w:hint="eastAsia"/>
          <w:sz w:val="24"/>
        </w:rPr>
        <w:t>７</w:t>
      </w:r>
      <w:r w:rsidRPr="0060219B">
        <w:rPr>
          <w:rFonts w:hint="eastAsia"/>
          <w:sz w:val="24"/>
        </w:rPr>
        <w:t>階層の世帯は、世帯合計所得</w:t>
      </w:r>
      <w:r w:rsidR="00D43A70" w:rsidRPr="0060219B">
        <w:rPr>
          <w:rFonts w:hint="eastAsia"/>
          <w:sz w:val="24"/>
        </w:rPr>
        <w:t>割課税</w:t>
      </w:r>
      <w:r w:rsidRPr="0060219B">
        <w:rPr>
          <w:rFonts w:hint="eastAsia"/>
          <w:sz w:val="24"/>
        </w:rPr>
        <w:t>額が年間</w:t>
      </w:r>
      <w:r w:rsidR="00654E95" w:rsidRPr="0060219B">
        <w:rPr>
          <w:rFonts w:hint="eastAsia"/>
          <w:sz w:val="24"/>
        </w:rPr>
        <w:t>１</w:t>
      </w:r>
      <w:r w:rsidRPr="0060219B">
        <w:rPr>
          <w:rFonts w:hint="eastAsia"/>
          <w:sz w:val="24"/>
        </w:rPr>
        <w:t>６</w:t>
      </w:r>
      <w:r w:rsidR="00654E95" w:rsidRPr="0060219B">
        <w:rPr>
          <w:rFonts w:hint="eastAsia"/>
          <w:sz w:val="24"/>
        </w:rPr>
        <w:t>．２</w:t>
      </w:r>
      <w:r w:rsidRPr="0073035D">
        <w:rPr>
          <w:rFonts w:hint="eastAsia"/>
          <w:sz w:val="24"/>
        </w:rPr>
        <w:t>万円</w:t>
      </w:r>
      <w:r w:rsidR="001B5A57">
        <w:rPr>
          <w:rFonts w:hint="eastAsia"/>
          <w:sz w:val="24"/>
        </w:rPr>
        <w:t>以上</w:t>
      </w:r>
      <w:r w:rsidR="00654E95" w:rsidRPr="0073035D">
        <w:rPr>
          <w:rFonts w:hint="eastAsia"/>
          <w:sz w:val="24"/>
        </w:rPr>
        <w:t>２０．２</w:t>
      </w:r>
      <w:r w:rsidRPr="0073035D">
        <w:rPr>
          <w:rFonts w:hint="eastAsia"/>
          <w:sz w:val="24"/>
        </w:rPr>
        <w:t>万円</w:t>
      </w:r>
      <w:r w:rsidR="001B5A57">
        <w:rPr>
          <w:rFonts w:hint="eastAsia"/>
          <w:sz w:val="24"/>
        </w:rPr>
        <w:t>未満</w:t>
      </w:r>
      <w:r w:rsidRPr="0073035D">
        <w:rPr>
          <w:rFonts w:hint="eastAsia"/>
          <w:sz w:val="24"/>
        </w:rPr>
        <w:t>の世帯であり、父・母・子２人の共働き４人家族の場合、世帯合計の年間収入が約</w:t>
      </w:r>
      <w:r w:rsidR="00AD78A8">
        <w:rPr>
          <w:rFonts w:hint="eastAsia"/>
          <w:sz w:val="24"/>
        </w:rPr>
        <w:t>７００</w:t>
      </w:r>
      <w:r w:rsidRPr="0073035D">
        <w:rPr>
          <w:rFonts w:hint="eastAsia"/>
          <w:sz w:val="24"/>
        </w:rPr>
        <w:t>万円と推測され</w:t>
      </w:r>
      <w:r w:rsidR="00E92102" w:rsidRPr="0073035D">
        <w:rPr>
          <w:rFonts w:hint="eastAsia"/>
          <w:sz w:val="24"/>
        </w:rPr>
        <w:t>ます</w:t>
      </w:r>
      <w:r w:rsidRPr="0073035D">
        <w:rPr>
          <w:rFonts w:hint="eastAsia"/>
          <w:sz w:val="24"/>
        </w:rPr>
        <w:t>。３歳児未満の第１</w:t>
      </w:r>
      <w:r w:rsidR="00C43D6E">
        <w:rPr>
          <w:rFonts w:hint="eastAsia"/>
          <w:sz w:val="24"/>
        </w:rPr>
        <w:t>子の保育料は</w:t>
      </w:r>
      <w:r w:rsidRPr="0073035D">
        <w:rPr>
          <w:rFonts w:hint="eastAsia"/>
          <w:sz w:val="24"/>
        </w:rPr>
        <w:t>年間</w:t>
      </w:r>
      <w:r w:rsidR="00050153">
        <w:rPr>
          <w:rFonts w:hint="eastAsia"/>
          <w:sz w:val="24"/>
        </w:rPr>
        <w:t>３５</w:t>
      </w:r>
      <w:r w:rsidR="00050153">
        <w:rPr>
          <w:rFonts w:hint="eastAsia"/>
          <w:sz w:val="24"/>
        </w:rPr>
        <w:t>.</w:t>
      </w:r>
      <w:r w:rsidR="00050153">
        <w:rPr>
          <w:rFonts w:hint="eastAsia"/>
          <w:sz w:val="24"/>
        </w:rPr>
        <w:t>６万円</w:t>
      </w:r>
      <w:r w:rsidRPr="0073035D">
        <w:rPr>
          <w:rFonts w:hint="eastAsia"/>
          <w:sz w:val="24"/>
        </w:rPr>
        <w:t>（</w:t>
      </w:r>
      <w:r w:rsidR="001B7BA4">
        <w:rPr>
          <w:rFonts w:hint="eastAsia"/>
          <w:sz w:val="24"/>
        </w:rPr>
        <w:t>２９，７</w:t>
      </w:r>
      <w:r w:rsidR="00EC1531">
        <w:rPr>
          <w:rFonts w:hint="eastAsia"/>
          <w:sz w:val="24"/>
        </w:rPr>
        <w:t>００</w:t>
      </w:r>
      <w:r w:rsidRPr="0073035D">
        <w:rPr>
          <w:rFonts w:hint="eastAsia"/>
          <w:sz w:val="24"/>
        </w:rPr>
        <w:t>円×</w:t>
      </w:r>
      <w:r w:rsidR="00EC1531">
        <w:rPr>
          <w:rFonts w:hint="eastAsia"/>
          <w:sz w:val="24"/>
        </w:rPr>
        <w:t>１２</w:t>
      </w:r>
      <w:r w:rsidR="00AB05EE" w:rsidRPr="0073035D">
        <w:rPr>
          <w:rFonts w:hint="eastAsia"/>
          <w:sz w:val="24"/>
        </w:rPr>
        <w:t>ヶ月）で</w:t>
      </w:r>
      <w:r w:rsidR="00C43D6E">
        <w:rPr>
          <w:rFonts w:hint="eastAsia"/>
          <w:sz w:val="24"/>
        </w:rPr>
        <w:t>、年間</w:t>
      </w:r>
      <w:r w:rsidR="00AB05EE" w:rsidRPr="0073035D">
        <w:rPr>
          <w:rFonts w:hint="eastAsia"/>
          <w:sz w:val="24"/>
        </w:rPr>
        <w:t>収入</w:t>
      </w:r>
      <w:r w:rsidR="00AD78A8">
        <w:rPr>
          <w:rFonts w:hint="eastAsia"/>
          <w:sz w:val="24"/>
        </w:rPr>
        <w:t>７００</w:t>
      </w:r>
      <w:r w:rsidR="00AB05EE" w:rsidRPr="0073035D">
        <w:rPr>
          <w:rFonts w:hint="eastAsia"/>
          <w:sz w:val="24"/>
        </w:rPr>
        <w:t>万円の場合</w:t>
      </w:r>
      <w:r w:rsidR="00C43D6E">
        <w:rPr>
          <w:rFonts w:hint="eastAsia"/>
          <w:sz w:val="24"/>
        </w:rPr>
        <w:t>、</w:t>
      </w:r>
      <w:r w:rsidR="005621D9" w:rsidRPr="0073035D">
        <w:rPr>
          <w:rFonts w:hint="eastAsia"/>
          <w:sz w:val="24"/>
        </w:rPr>
        <w:t>およそ</w:t>
      </w:r>
      <w:r w:rsidR="00EC1531">
        <w:rPr>
          <w:rFonts w:hint="eastAsia"/>
          <w:sz w:val="24"/>
        </w:rPr>
        <w:t>５</w:t>
      </w:r>
      <w:r w:rsidRPr="0073035D">
        <w:rPr>
          <w:rFonts w:hint="eastAsia"/>
          <w:sz w:val="24"/>
        </w:rPr>
        <w:t>％に相当します。</w:t>
      </w:r>
    </w:p>
    <w:p w14:paraId="42C44484" w14:textId="77777777" w:rsidR="00E92102" w:rsidRPr="00B400D4" w:rsidRDefault="00E92102" w:rsidP="00E7727D">
      <w:pPr>
        <w:autoSpaceDE w:val="0"/>
        <w:autoSpaceDN w:val="0"/>
        <w:ind w:startChars="100" w:start="22.50pt" w:hangingChars="100" w:hanging="12pt"/>
        <w:jc w:val="start"/>
        <w:rPr>
          <w:sz w:val="24"/>
        </w:rPr>
      </w:pPr>
    </w:p>
    <w:p w14:paraId="7E8560F4" w14:textId="705F7A8E" w:rsidR="00E7727D" w:rsidRPr="00E7727D" w:rsidRDefault="00876B2E" w:rsidP="00E7727D">
      <w:pPr>
        <w:autoSpaceDE w:val="0"/>
        <w:autoSpaceDN w:val="0"/>
        <w:ind w:startChars="100" w:start="22.50pt" w:hangingChars="100" w:hanging="12pt"/>
        <w:jc w:val="star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グラフ７　認可保育所利用者の保育料階層の分布（令和</w:t>
      </w:r>
      <w:r w:rsidR="002B7BA5">
        <w:rPr>
          <w:rFonts w:ascii="ＭＳ ゴシック" w:eastAsia="ＭＳ ゴシック" w:hAnsi="ＭＳ ゴシック" w:hint="eastAsia"/>
          <w:sz w:val="24"/>
        </w:rPr>
        <w:t>７</w:t>
      </w:r>
      <w:r w:rsidR="00E7727D" w:rsidRPr="0073035D">
        <w:rPr>
          <w:rFonts w:ascii="ＭＳ ゴシック" w:eastAsia="ＭＳ ゴシック" w:hAnsi="ＭＳ ゴシック" w:hint="eastAsia"/>
          <w:sz w:val="24"/>
        </w:rPr>
        <w:t>年４月在園）</w:t>
      </w:r>
      <w:r w:rsidR="00E7727D" w:rsidRPr="0073035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92C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 w:rsidR="00E772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7727D" w:rsidRPr="00E7727D">
        <w:rPr>
          <w:rFonts w:ascii="ＭＳ 明朝" w:hAnsi="ＭＳ 明朝" w:hint="eastAsia"/>
          <w:szCs w:val="21"/>
        </w:rPr>
        <w:t>単位：件</w:t>
      </w:r>
    </w:p>
    <w:p w14:paraId="5DE56B26" w14:textId="15B5D08A" w:rsidR="005B2CBE" w:rsidRDefault="002B7BA5" w:rsidP="009750AA">
      <w:pPr>
        <w:autoSpaceDE w:val="0"/>
        <w:autoSpaceDN w:val="0"/>
        <w:ind w:startChars="100" w:start="21pt" w:hangingChars="100" w:hanging="10.50pt"/>
        <w:jc w:val="start"/>
      </w:pPr>
      <w:r>
        <w:rPr>
          <w:noProof/>
        </w:rPr>
        <w:drawing>
          <wp:inline distT="0" distB="0" distL="0" distR="0" wp14:anchorId="7B0DF4E7" wp14:editId="6BE390F6">
            <wp:extent cx="7867650" cy="3657600"/>
            <wp:effectExtent l="0" t="0" r="0" b="0"/>
            <wp:docPr id="662923794" name="グラフ 1">
              <a:extLst xmlns:a="http://purl.oclc.org/ooxml/drawingml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purl.oclc.org/ooxml/drawingml/main">
              <a:graphicData uri="http://purl.oclc.org/ooxml/drawingml/chart">
                <c:chart xmlns:c="http://purl.oclc.org/ooxml/drawingml/chart" xmlns:r="http://purl.oclc.org/ooxml/officeDocument/relationships" r:id="rId7"/>
              </a:graphicData>
            </a:graphic>
          </wp:inline>
        </w:drawing>
      </w:r>
    </w:p>
    <w:p w14:paraId="454C6A0B" w14:textId="77777777" w:rsidR="00B526E9" w:rsidRPr="00C36A09" w:rsidRDefault="00B526E9" w:rsidP="00CB181C">
      <w:pPr>
        <w:autoSpaceDE w:val="0"/>
        <w:autoSpaceDN w:val="0"/>
        <w:jc w:val="start"/>
      </w:pPr>
    </w:p>
    <w:p w14:paraId="1F8D0EA6" w14:textId="77777777" w:rsidR="009750AA" w:rsidRDefault="009750AA" w:rsidP="009750AA">
      <w:pPr>
        <w:autoSpaceDE w:val="0"/>
        <w:autoSpaceDN w:val="0"/>
        <w:adjustRightInd w:val="0"/>
        <w:spacing w:line="14.80pt" w:lineRule="atLeast"/>
        <w:ind w:startChars="136" w:start="28.35pt" w:hangingChars="134" w:hanging="14.05pt"/>
        <w:jc w:val="start"/>
        <w:rPr>
          <w:position w:val="6"/>
        </w:rPr>
      </w:pPr>
      <w:r>
        <w:rPr>
          <w:rFonts w:hint="eastAsia"/>
          <w:position w:val="6"/>
        </w:rPr>
        <w:t>※税資料の提出がなく、税額が確認できない場合は、</w:t>
      </w:r>
      <w:r w:rsidR="00EC1531">
        <w:rPr>
          <w:rFonts w:hint="eastAsia"/>
          <w:position w:val="6"/>
        </w:rPr>
        <w:t>Ｄ３１</w:t>
      </w:r>
      <w:r>
        <w:rPr>
          <w:rFonts w:hint="eastAsia"/>
          <w:position w:val="6"/>
        </w:rPr>
        <w:t>と表示しています。</w:t>
      </w:r>
    </w:p>
    <w:p w14:paraId="0177CA4E" w14:textId="77777777" w:rsidR="009750AA" w:rsidRPr="009750AA" w:rsidRDefault="009750AA" w:rsidP="009750AA">
      <w:pPr>
        <w:autoSpaceDE w:val="0"/>
        <w:autoSpaceDN w:val="0"/>
        <w:adjustRightInd w:val="0"/>
        <w:spacing w:line="14.80pt" w:lineRule="atLeast"/>
        <w:ind w:startChars="136" w:start="28.35pt" w:hangingChars="134" w:hanging="14.05pt"/>
        <w:jc w:val="start"/>
        <w:rPr>
          <w:position w:val="6"/>
        </w:rPr>
      </w:pPr>
      <w:r>
        <w:rPr>
          <w:rFonts w:hint="eastAsia"/>
          <w:position w:val="6"/>
        </w:rPr>
        <w:t>※保育料は、世帯の住民税の所得割課税額を基礎として決定しています。</w:t>
      </w:r>
    </w:p>
    <w:sectPr w:rsidR="009750AA" w:rsidRPr="009750AA" w:rsidSect="0046040D">
      <w:pgSz w:w="841.90pt" w:h="595.30pt" w:orient="landscape" w:code="9"/>
      <w:pgMar w:top="42.55pt" w:right="35.45pt" w:bottom="34pt" w:left="56.70pt" w:header="36pt" w:footer="36pt" w:gutter="0pt"/>
      <w:cols w:space="36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9C28D9C" w14:textId="77777777" w:rsidR="00EA2523" w:rsidRDefault="00EA2523" w:rsidP="00466697">
      <w:r>
        <w:separator/>
      </w:r>
    </w:p>
  </w:endnote>
  <w:endnote w:type="continuationSeparator" w:id="0">
    <w:p w14:paraId="161B61A3" w14:textId="77777777" w:rsidR="00EA2523" w:rsidRDefault="00EA2523" w:rsidP="0046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B98B733" w14:textId="77777777" w:rsidR="00EA2523" w:rsidRDefault="00EA2523" w:rsidP="00466697">
      <w:r>
        <w:separator/>
      </w:r>
    </w:p>
  </w:footnote>
  <w:footnote w:type="continuationSeparator" w:id="0">
    <w:p w14:paraId="415FD01F" w14:textId="77777777" w:rsidR="00EA2523" w:rsidRDefault="00EA2523" w:rsidP="00466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DC"/>
    <w:rsid w:val="00050153"/>
    <w:rsid w:val="00067835"/>
    <w:rsid w:val="001A0E1B"/>
    <w:rsid w:val="001A3FA9"/>
    <w:rsid w:val="001A71A3"/>
    <w:rsid w:val="001B5A57"/>
    <w:rsid w:val="001B7BA4"/>
    <w:rsid w:val="001C51FB"/>
    <w:rsid w:val="001D1434"/>
    <w:rsid w:val="001E361F"/>
    <w:rsid w:val="002B7BA5"/>
    <w:rsid w:val="002E2F29"/>
    <w:rsid w:val="0033365D"/>
    <w:rsid w:val="00335C5B"/>
    <w:rsid w:val="00365C2E"/>
    <w:rsid w:val="00391A50"/>
    <w:rsid w:val="003C52B4"/>
    <w:rsid w:val="003E12B5"/>
    <w:rsid w:val="0045443B"/>
    <w:rsid w:val="0046040D"/>
    <w:rsid w:val="00461925"/>
    <w:rsid w:val="00466697"/>
    <w:rsid w:val="004673E2"/>
    <w:rsid w:val="004B532D"/>
    <w:rsid w:val="004F08C2"/>
    <w:rsid w:val="004F2769"/>
    <w:rsid w:val="0050542F"/>
    <w:rsid w:val="00515611"/>
    <w:rsid w:val="00544E5C"/>
    <w:rsid w:val="005621D9"/>
    <w:rsid w:val="0056796F"/>
    <w:rsid w:val="005B2CBE"/>
    <w:rsid w:val="005D3E1B"/>
    <w:rsid w:val="005F326B"/>
    <w:rsid w:val="0060219B"/>
    <w:rsid w:val="00603167"/>
    <w:rsid w:val="00605BA3"/>
    <w:rsid w:val="006340AA"/>
    <w:rsid w:val="00654E95"/>
    <w:rsid w:val="00671DD9"/>
    <w:rsid w:val="00673A2E"/>
    <w:rsid w:val="00696916"/>
    <w:rsid w:val="006A334A"/>
    <w:rsid w:val="006A3E9A"/>
    <w:rsid w:val="006D619B"/>
    <w:rsid w:val="006E3ABF"/>
    <w:rsid w:val="006E7A03"/>
    <w:rsid w:val="006F0A00"/>
    <w:rsid w:val="00714C55"/>
    <w:rsid w:val="007269E3"/>
    <w:rsid w:val="0073035D"/>
    <w:rsid w:val="00791790"/>
    <w:rsid w:val="008120C6"/>
    <w:rsid w:val="00825908"/>
    <w:rsid w:val="00826136"/>
    <w:rsid w:val="008751AC"/>
    <w:rsid w:val="00876B2E"/>
    <w:rsid w:val="00892CB7"/>
    <w:rsid w:val="00896605"/>
    <w:rsid w:val="0093763F"/>
    <w:rsid w:val="00952904"/>
    <w:rsid w:val="009750AA"/>
    <w:rsid w:val="00980718"/>
    <w:rsid w:val="00981A65"/>
    <w:rsid w:val="0098248A"/>
    <w:rsid w:val="009950F1"/>
    <w:rsid w:val="00A22335"/>
    <w:rsid w:val="00A2537D"/>
    <w:rsid w:val="00A47742"/>
    <w:rsid w:val="00AB05EE"/>
    <w:rsid w:val="00AB5334"/>
    <w:rsid w:val="00AD78A8"/>
    <w:rsid w:val="00AF5A00"/>
    <w:rsid w:val="00B3213A"/>
    <w:rsid w:val="00B400D4"/>
    <w:rsid w:val="00B45CB3"/>
    <w:rsid w:val="00B45DA9"/>
    <w:rsid w:val="00B50F9A"/>
    <w:rsid w:val="00B526E9"/>
    <w:rsid w:val="00BB00DC"/>
    <w:rsid w:val="00BD2C0F"/>
    <w:rsid w:val="00C04BF3"/>
    <w:rsid w:val="00C24108"/>
    <w:rsid w:val="00C27D1C"/>
    <w:rsid w:val="00C30975"/>
    <w:rsid w:val="00C36A09"/>
    <w:rsid w:val="00C43D6E"/>
    <w:rsid w:val="00C67005"/>
    <w:rsid w:val="00C86FE5"/>
    <w:rsid w:val="00CB181C"/>
    <w:rsid w:val="00CB32A1"/>
    <w:rsid w:val="00CC2923"/>
    <w:rsid w:val="00D36B66"/>
    <w:rsid w:val="00D43A70"/>
    <w:rsid w:val="00D500D4"/>
    <w:rsid w:val="00D934EC"/>
    <w:rsid w:val="00DA6A07"/>
    <w:rsid w:val="00DF1DAB"/>
    <w:rsid w:val="00E028EA"/>
    <w:rsid w:val="00E176C9"/>
    <w:rsid w:val="00E576DC"/>
    <w:rsid w:val="00E7727D"/>
    <w:rsid w:val="00E92102"/>
    <w:rsid w:val="00EA2523"/>
    <w:rsid w:val="00EB5973"/>
    <w:rsid w:val="00EC1531"/>
    <w:rsid w:val="00ED4BB8"/>
    <w:rsid w:val="00ED6C35"/>
    <w:rsid w:val="00F06010"/>
    <w:rsid w:val="00F32C8C"/>
    <w:rsid w:val="00F42E7E"/>
    <w:rsid w:val="00F71F4C"/>
    <w:rsid w:val="00F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9B333C5"/>
  <w15:chartTrackingRefBased/>
  <w15:docId w15:val="{719C8D6B-2445-4C1E-874A-8E0BDD2AC47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6697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rsid w:val="00466697"/>
    <w:rPr>
      <w:kern w:val="2"/>
      <w:sz w:val="21"/>
      <w:szCs w:val="24"/>
    </w:rPr>
  </w:style>
  <w:style w:type="paragraph" w:styleId="a5">
    <w:name w:val="footer"/>
    <w:basedOn w:val="a"/>
    <w:link w:val="a6"/>
    <w:rsid w:val="00466697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rsid w:val="00466697"/>
    <w:rPr>
      <w:kern w:val="2"/>
      <w:sz w:val="21"/>
      <w:szCs w:val="24"/>
    </w:rPr>
  </w:style>
  <w:style w:type="paragraph" w:styleId="a7">
    <w:name w:val="Balloon Text"/>
    <w:basedOn w:val="a"/>
    <w:link w:val="a8"/>
    <w:rsid w:val="00876B2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76B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562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7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chart" Target="charts/chart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purl.oclc.org/ooxml/officeDocument/relationships/oleObject" Target="file:///\\setagaya.local\files\SEA01044\&#65303;&#24180;&#24230;\&#20837;&#22290;&#25285;&#24403;\03_&#12471;&#12473;&#12486;&#12512;\&#9633;&#26032;&#12471;&#12473;&#12486;&#12512;\R7\999_&#21508;&#31278;&#35519;&#26619;\&#12304;070711&#12294;_&#20445;&#32946;&#35506;&#12424;&#12426;&#12305;&#20196;&#21644;&#65303;&#24180;&#24230;&#12300;&#20445;&#32946;&#12398;&#32113;&#35336;&#36039;&#26009;&#12301;&#12398;&#26356;&#26032;&#12395;&#12388;&#12356;&#12390;(&#20381;&#38972;)\&#12304;7&#24180;&#24230;&#12305;7%20&#35469;&#21487;&#20445;&#32946;&#25152;&#21033;&#29992;&#32773;&#12398;&#20445;&#32946;&#26009;&#38542;&#23652;&#12398;&#20998;&#2406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purl.oclc.org/ooxml/drawingml/chart" xmlns:a="http://purl.oclc.org/ooxml/drawingml/main" xmlns:r="http://purl.oclc.org/ooxml/officeDocument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[【7年度】7 認可保育所利用者の保育料階層の分布.xlsx]Sheet1!ピボットテーブル2</c:name>
    <c:fmtId val="4"/>
  </c:pivotSource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%">
              <a:solidFill>
                <a:schemeClr val="tx1">
                  <a:lumMod val="65%"/>
                  <a:lumOff val="35%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%">
                  <a:solidFill>
                    <a:schemeClr val="tx1">
                      <a:lumMod val="75%"/>
                      <a:lumOff val="25%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%">
                  <a:solidFill>
                    <a:schemeClr val="tx1">
                      <a:lumMod val="75%"/>
                      <a:lumOff val="25%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%">
                  <a:solidFill>
                    <a:schemeClr val="tx1">
                      <a:lumMod val="75%"/>
                      <a:lumOff val="25%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集計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Sheet1!$A$4:$A$37</c:f>
              <c:strCache>
                <c:ptCount val="33"/>
                <c:pt idx="0">
                  <c:v>Ａ</c:v>
                </c:pt>
                <c:pt idx="1">
                  <c:v>Ｂ１</c:v>
                </c:pt>
                <c:pt idx="2">
                  <c:v>Ｄ１</c:v>
                </c:pt>
                <c:pt idx="3">
                  <c:v>Ｄ２</c:v>
                </c:pt>
                <c:pt idx="4">
                  <c:v>Ｄ３</c:v>
                </c:pt>
                <c:pt idx="5">
                  <c:v>Ｄ４</c:v>
                </c:pt>
                <c:pt idx="6">
                  <c:v>Ｄ５</c:v>
                </c:pt>
                <c:pt idx="7">
                  <c:v>Ｄ６</c:v>
                </c:pt>
                <c:pt idx="8">
                  <c:v>Ｄ７</c:v>
                </c:pt>
                <c:pt idx="9">
                  <c:v>Ｄ８</c:v>
                </c:pt>
                <c:pt idx="10">
                  <c:v>Ｄ９</c:v>
                </c:pt>
                <c:pt idx="11">
                  <c:v>Ｄ１０</c:v>
                </c:pt>
                <c:pt idx="12">
                  <c:v>Ｄ１１</c:v>
                </c:pt>
                <c:pt idx="13">
                  <c:v>Ｄ１２</c:v>
                </c:pt>
                <c:pt idx="14">
                  <c:v>Ｄ１３</c:v>
                </c:pt>
                <c:pt idx="15">
                  <c:v>Ｄ１４</c:v>
                </c:pt>
                <c:pt idx="16">
                  <c:v>Ｄ１５</c:v>
                </c:pt>
                <c:pt idx="17">
                  <c:v>Ｄ１６</c:v>
                </c:pt>
                <c:pt idx="18">
                  <c:v>Ｄ１７</c:v>
                </c:pt>
                <c:pt idx="19">
                  <c:v>Ｄ１８</c:v>
                </c:pt>
                <c:pt idx="20">
                  <c:v>Ｄ１９</c:v>
                </c:pt>
                <c:pt idx="21">
                  <c:v>Ｄ２０</c:v>
                </c:pt>
                <c:pt idx="22">
                  <c:v>Ｄ２１</c:v>
                </c:pt>
                <c:pt idx="23">
                  <c:v>Ｄ２２</c:v>
                </c:pt>
                <c:pt idx="24">
                  <c:v>Ｄ２３</c:v>
                </c:pt>
                <c:pt idx="25">
                  <c:v>Ｄ２４</c:v>
                </c:pt>
                <c:pt idx="26">
                  <c:v>Ｄ２５</c:v>
                </c:pt>
                <c:pt idx="27">
                  <c:v>Ｄ２６</c:v>
                </c:pt>
                <c:pt idx="28">
                  <c:v>Ｄ２７</c:v>
                </c:pt>
                <c:pt idx="29">
                  <c:v>Ｄ２８</c:v>
                </c:pt>
                <c:pt idx="30">
                  <c:v>Ｄ２９</c:v>
                </c:pt>
                <c:pt idx="31">
                  <c:v>Ｄ３０</c:v>
                </c:pt>
                <c:pt idx="32">
                  <c:v>Ｄ３１</c:v>
                </c:pt>
              </c:strCache>
            </c:strRef>
          </c:cat>
          <c:val>
            <c:numRef>
              <c:f>Sheet1!$B$4:$B$37</c:f>
              <c:numCache>
                <c:formatCode>General</c:formatCode>
                <c:ptCount val="33"/>
                <c:pt idx="0">
                  <c:v>41</c:v>
                </c:pt>
                <c:pt idx="1">
                  <c:v>832</c:v>
                </c:pt>
                <c:pt idx="2">
                  <c:v>131</c:v>
                </c:pt>
                <c:pt idx="3">
                  <c:v>323</c:v>
                </c:pt>
                <c:pt idx="4">
                  <c:v>279</c:v>
                </c:pt>
                <c:pt idx="5">
                  <c:v>623</c:v>
                </c:pt>
                <c:pt idx="6">
                  <c:v>1091</c:v>
                </c:pt>
                <c:pt idx="7">
                  <c:v>1344</c:v>
                </c:pt>
                <c:pt idx="8">
                  <c:v>1485</c:v>
                </c:pt>
                <c:pt idx="9">
                  <c:v>622</c:v>
                </c:pt>
                <c:pt idx="10">
                  <c:v>487</c:v>
                </c:pt>
                <c:pt idx="11">
                  <c:v>518</c:v>
                </c:pt>
                <c:pt idx="12">
                  <c:v>565</c:v>
                </c:pt>
                <c:pt idx="13">
                  <c:v>464</c:v>
                </c:pt>
                <c:pt idx="14">
                  <c:v>464</c:v>
                </c:pt>
                <c:pt idx="15">
                  <c:v>481</c:v>
                </c:pt>
                <c:pt idx="16">
                  <c:v>403</c:v>
                </c:pt>
                <c:pt idx="17">
                  <c:v>428</c:v>
                </c:pt>
                <c:pt idx="18">
                  <c:v>369</c:v>
                </c:pt>
                <c:pt idx="19">
                  <c:v>375</c:v>
                </c:pt>
                <c:pt idx="20">
                  <c:v>375</c:v>
                </c:pt>
                <c:pt idx="21">
                  <c:v>353</c:v>
                </c:pt>
                <c:pt idx="22">
                  <c:v>842</c:v>
                </c:pt>
                <c:pt idx="23">
                  <c:v>681</c:v>
                </c:pt>
                <c:pt idx="24">
                  <c:v>984</c:v>
                </c:pt>
                <c:pt idx="25">
                  <c:v>717</c:v>
                </c:pt>
                <c:pt idx="26">
                  <c:v>536</c:v>
                </c:pt>
                <c:pt idx="27">
                  <c:v>501</c:v>
                </c:pt>
                <c:pt idx="28">
                  <c:v>348</c:v>
                </c:pt>
                <c:pt idx="29">
                  <c:v>337</c:v>
                </c:pt>
                <c:pt idx="30">
                  <c:v>232</c:v>
                </c:pt>
                <c:pt idx="31">
                  <c:v>419</c:v>
                </c:pt>
                <c:pt idx="32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36-4549-8BE6-DD95D058DA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0472840"/>
        <c:axId val="380473168"/>
      </c:barChart>
      <c:catAx>
        <c:axId val="380472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%"/>
                <a:lumOff val="85%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%">
                <a:solidFill>
                  <a:schemeClr val="tx1">
                    <a:lumMod val="65%"/>
                    <a:lumOff val="35%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80473168"/>
        <c:crosses val="autoZero"/>
        <c:auto val="1"/>
        <c:lblAlgn val="ctr"/>
        <c:lblOffset val="100"/>
        <c:noMultiLvlLbl val="0"/>
      </c:catAx>
      <c:valAx>
        <c:axId val="38047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%"/>
                  <a:lumOff val="85%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%">
                <a:solidFill>
                  <a:schemeClr val="tx1">
                    <a:lumMod val="65%"/>
                    <a:lumOff val="35%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80472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%">
              <a:solidFill>
                <a:schemeClr val="tx1">
                  <a:lumMod val="65%"/>
                  <a:lumOff val="35%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%"/>
          <a:lumOff val="85%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purl.oclc.org/ooxml/drawingml/main" meth="cycle" id="10">
  <a:schemeClr val="accent1"/>
  <a:schemeClr val="accent2"/>
  <a:schemeClr val="accent3"/>
  <a:schemeClr val="accent4"/>
  <a:schemeClr val="accent5"/>
  <a:schemeClr val="accent6"/>
  <cs:variation/>
  <cs:variation>
    <a:lumMod val="60%"/>
  </cs:variation>
  <cs:variation>
    <a:lumMod val="80%"/>
    <a:lumOff val="20%"/>
  </cs:variation>
  <cs:variation>
    <a:lumMod val="80%"/>
  </cs:variation>
  <cs:variation>
    <a:lumMod val="60%"/>
    <a:lumOff val="40%"/>
  </cs:variation>
  <cs:variation>
    <a:lumMod val="50%"/>
  </cs:variation>
  <cs:variation>
    <a:lumMod val="70%"/>
    <a:lumOff val="30%"/>
  </cs:variation>
  <cs:variation>
    <a:lumMod val="70%"/>
  </cs:variation>
  <cs:variation>
    <a:lumMod val="50%"/>
    <a:lumOff val="50%"/>
  </cs:variation>
</cs:colorStyle>
</file>

<file path=word/charts/style1.xml><?xml version="1.0" encoding="utf-8"?>
<cs:chartStyle xmlns:cs="http://schemas.microsoft.com/office/drawing/2012/chartStyle" xmlns:a="http://purl.oclc.org/ooxml/drawingml/main" id="201">
  <cs:axisTitle>
    <cs:lnRef idx="0"/>
    <cs:fillRef idx="0"/>
    <cs:effectRef idx="0"/>
    <cs:fontRef idx="minor">
      <a:schemeClr val="tx1">
        <a:lumMod val="65%"/>
        <a:lumOff val="35%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%"/>
        <a:lumOff val="35%"/>
      </a:schemeClr>
    </cs:fontRef>
    <cs:spPr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%"/>
        <a:lumOff val="25%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%"/>
        <a:lumOff val="35%"/>
      </a:schemeClr>
    </cs:fontRef>
    <cs:spPr>
      <a:solidFill>
        <a:schemeClr val="lt1"/>
      </a:solidFill>
      <a:ln>
        <a:solidFill>
          <a:schemeClr val="dk1">
            <a:lumMod val="25%"/>
            <a:lumOff val="75%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%"/>
        <a:lumOff val="35%"/>
      </a:schemeClr>
    </cs:fontRef>
    <cs:spPr>
      <a:noFill/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%"/>
          <a:lumOff val="35%"/>
        </a:schemeClr>
      </a:solidFill>
      <a:ln w="9525">
        <a:solidFill>
          <a:schemeClr val="tx1">
            <a:lumMod val="65%"/>
            <a:lumOff val="35%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%"/>
            <a:lumOff val="35%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%"/>
            <a:lumOff val="85%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%"/>
            <a:lumOff val="95%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%"/>
            <a:lumOff val="25%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%"/>
        <a:lumOff val="35%"/>
      </a:schemeClr>
    </cs:fontRef>
    <cs:defRPr sz="1400" b="0" kern="1200" spc="0" baseline="0%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%"/>
            <a:lumOff val="85%"/>
          </a:schemeClr>
        </a:solidFill>
      </a:ln>
    </cs:spPr>
  </cs:upBar>
  <cs:valueAxis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021825F-B4FC-47C9-879B-E12ACEC57D7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24</TotalTime>
  <Pages>1</Pages>
  <Words>419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日付：平成23年9月29日</vt:lpstr>
      <vt:lpstr>日付：平成23年9月29日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日付：平成23年9月29日</dc:title>
  <dc:subject/>
  <dc:creator>minodayu</dc:creator>
  <cp:keywords/>
  <cp:lastModifiedBy>深澤　凌太郎</cp:lastModifiedBy>
  <cp:revision>8</cp:revision>
  <cp:lastPrinted>2023-07-07T07:40:00Z</cp:lastPrinted>
  <dcterms:created xsi:type="dcterms:W3CDTF">2023-08-31T07:48:00Z</dcterms:created>
  <dcterms:modified xsi:type="dcterms:W3CDTF">2025-07-15T09:23:00Z</dcterms:modified>
</cp:coreProperties>
</file>